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汉语言文学（专升本）专业考试计划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jc w:val="both"/>
              <w:rPr>
                <w:rFonts w:ascii="Times New Roman" w:hAnsi="Times New Roman" w:eastAsia="黑体"/>
                <w:sz w:val="40"/>
                <w:szCs w:val="72"/>
              </w:rPr>
            </w:pPr>
          </w:p>
          <w:p>
            <w:pPr>
              <w:pStyle w:val="4"/>
              <w:jc w:val="both"/>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主考学校：四川师范大学</w:t>
            </w:r>
          </w:p>
          <w:p>
            <w:pPr>
              <w:spacing w:afterLines="200"/>
              <w:rPr>
                <w:rFonts w:ascii="Times New Roman" w:hAnsi="Times New Roman"/>
                <w:szCs w:val="36"/>
              </w:rPr>
            </w:pPr>
          </w:p>
          <w:p>
            <w:pPr>
              <w:spacing w:afterLines="200"/>
              <w:rPr>
                <w:rFonts w:ascii="Times New Roman" w:hAnsi="Times New Roman"/>
                <w:szCs w:val="36"/>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一、</w:t>
            </w:r>
            <w:r>
              <w:rPr>
                <w:rFonts w:hint="eastAsia" w:ascii="仿宋_GB2312" w:hAnsi="仿宋_GB2312" w:eastAsia="仿宋_GB2312" w:cs="仿宋_GB2312"/>
                <w:b/>
                <w:bCs/>
                <w:sz w:val="28"/>
                <w:szCs w:val="28"/>
              </w:rPr>
              <w:t>指导思想</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引，全面贯彻十九大关于“办好继续教育，加快建设学习型社会，大力提高国民素质”的要求，全面贯彻教育方针，结合自学考试特点，吸收高等教育改革成果。以专业规范工作为抓手，规范专业设置，优化专业结构，推进自学考试转型发展，为更好地满足人民群众对高等教育多样化的需求奠定坚实基础。</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二、学历层次及规格</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高等教育自学考试汉语言文学（专升本）专业的学历层次为本科，学科门类为文学，专业类别为中国语言文学类。</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74</w:t>
            </w:r>
            <w:r>
              <w:rPr>
                <w:rFonts w:hint="eastAsia" w:ascii="仿宋_GB2312" w:hAnsi="仿宋_GB2312" w:eastAsia="仿宋_GB2312" w:cs="仿宋_GB2312"/>
                <w:sz w:val="28"/>
                <w:szCs w:val="28"/>
              </w:rPr>
              <w:t>学分。</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颁发汉语言文学（专升本）专业毕业证书，主考学校副署，国家承认学历。符合高等学历继续教育学士学位授予条件者，由主考学校按规定授予学士学位。</w:t>
            </w:r>
          </w:p>
          <w:p>
            <w:pPr>
              <w:pStyle w:val="4"/>
              <w:snapToGrid w:val="0"/>
              <w:spacing w:line="360" w:lineRule="auto"/>
              <w:ind w:firstLine="562" w:firstLineChars="200"/>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rPr>
              <w:t>三、</w:t>
            </w:r>
            <w:r>
              <w:rPr>
                <w:rFonts w:hint="eastAsia" w:ascii="仿宋_GB2312" w:hAnsi="仿宋_GB2312" w:eastAsia="仿宋_GB2312" w:cs="仿宋_GB2312"/>
                <w:b/>
                <w:bCs/>
                <w:sz w:val="28"/>
                <w:szCs w:val="28"/>
              </w:rPr>
              <w:t>培养目标</w:t>
            </w:r>
            <w:r>
              <w:rPr>
                <w:rFonts w:hint="eastAsia" w:ascii="仿宋_GB2312" w:hAnsi="仿宋_GB2312" w:eastAsia="仿宋_GB2312" w:cs="仿宋_GB2312"/>
                <w:b/>
                <w:bCs/>
                <w:sz w:val="28"/>
                <w:szCs w:val="28"/>
                <w:lang w:val="en-US" w:eastAsia="zh-CN"/>
              </w:rPr>
              <w:t>与基本要求</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培养目标</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本专业培养理想信念坚定，德、智、体、美、劳全面发展，具有较高的科学文化素养、职业道德水准、创新创业能力和社会责任感，适应社会和经济发展需要，具有扎实的汉语言文学基础，掌握汉语和中国文学的基本理论、基本知识，具有较强的审美能力和中文表达能力，具有初步的中国语言文学研究能力，能够在文化、教育、出版、传媒机构以及政府机关、企事业单位从事与汉语言文学运用相关工作的应用型人才。</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基本要求：</w:t>
            </w:r>
            <w:r>
              <w:rPr>
                <w:rFonts w:hint="eastAsia" w:ascii="仿宋_GB2312" w:hAnsi="仿宋_GB2312" w:eastAsia="仿宋_GB2312" w:cs="仿宋_GB2312"/>
                <w:sz w:val="28"/>
                <w:szCs w:val="28"/>
              </w:rPr>
              <w:t>本专业要求掌握汉语言文学的基本理论和基本知识，具有较强的写作能力和表达能力，具有一定的审</w:t>
            </w:r>
            <w:bookmarkStart w:id="0" w:name="_GoBack"/>
            <w:bookmarkEnd w:id="0"/>
            <w:r>
              <w:rPr>
                <w:rFonts w:hint="eastAsia" w:ascii="仿宋_GB2312" w:hAnsi="仿宋_GB2312" w:eastAsia="仿宋_GB2312" w:cs="仿宋_GB2312"/>
                <w:sz w:val="28"/>
                <w:szCs w:val="28"/>
              </w:rPr>
              <w:t>美鉴赏能力和创新能力，以及初步从事本学科研究并能综合运用所学知识进行社会实践的基本能力。主要包括：</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掌握汉语言文学学科的基础理论、基本知识；</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具备较强的写作能力和口头表达能力；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具备宽阔的文化视野，能运用专业知识，在本学科领域发现问题、分析问题、解决问题；</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有较强的自学能力和创新意识，具备不断获取知识的能力；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熟悉国家在汉语言文字和文学创作、传播以及语文教育等方面的政策和法规。</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050101</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46"/>
              <w:gridCol w:w="1158"/>
              <w:gridCol w:w="1109"/>
              <w:gridCol w:w="3134"/>
              <w:gridCol w:w="587"/>
              <w:gridCol w:w="1096"/>
              <w:gridCol w:w="1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00037</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美学</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00536</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古代汉语</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00537</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中国现代文学史</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00538</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中国古代文学史（一）</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00539</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中国古代文学史（二）</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00540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外国文学史</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00541</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语言学概论</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01611</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沟通技巧</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04635</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诗词赏析</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07562</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报告文学研究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10400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中国当代文学名家研究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11213</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语文教学研究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458" w:type="pct"/>
                  <w:gridSpan w:val="4"/>
                  <w:tcBorders>
                    <w:top w:val="single" w:color="000000" w:sz="2" w:space="0"/>
                    <w:left w:val="single" w:color="000000" w:sz="2" w:space="0"/>
                    <w:bottom w:val="single" w:color="000000" w:sz="2" w:space="0"/>
                    <w:right w:val="single" w:color="000000" w:sz="2" w:space="0"/>
                  </w:tcBorders>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541" w:type="pct"/>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74</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rPr>
              <w:t>中国当代文学名家研究</w:t>
            </w:r>
          </w:p>
          <w:p>
            <w:pPr>
              <w:autoSpaceDE/>
              <w:autoSpaceDN/>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lang w:val="en-US"/>
              </w:rPr>
              <w:t>本课程主要内容为介绍中国当代重要作家作品，按照时间分期及流派不同，从社会历史发展、文学思潮倾向等角度进行分析。通过学习本课程，使学生了解中国当代文学名家及代表作品，掌握不同流派与历史时期的文学特色。</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rPr>
              <w:t>报告文学研究</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本课程主要内容为介绍中国现代报告文学重要作家作品及其特点，从时代性、纪实性、叙述性等角度分析研究。通过学习本课程，使学生对报告文学这一文学体裁产生更进一步的了解，包括报告文学中的诸多文学问题。</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诗词赏析</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介绍中国古代重要诗词，从不同历史时期、诗人群体、诗体风格等角度进行赏析。通过学习本课程，使学生对古代诗词的美学特质、时代风格、内在意蕴产生更深的理解，感受传统诗词的精神内核，提升诗词赏析能力。</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沟通技巧</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本课程主要内容为介绍人际沟通中的交流技巧，包括文字、肢体、语气等，讲述沟通技巧在展现情绪、表达诉求、反馈回应等方面的实际应用。通过学习本课程，使学生掌握基础的沟通技巧，提升人际交往能力。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rPr>
              <w:t>语文教学研究</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本课程主要内容为介绍语文教学相关知识，包括一线语文教学教研经验、语文教学基础技巧、教学设计研究，从理论新知、教艺风采等维度讲解语文教学。通过学习本课程，使学生掌握语文教学研究的基本要点。</w:t>
            </w:r>
          </w:p>
          <w:p>
            <w:pPr>
              <w:autoSpaceDE/>
              <w:autoSpaceDN/>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autoSpaceDE/>
              <w:autoSpaceDN/>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为培养学生分析与解决问题的能力，使其毕业后能胜任与本专业相关的工作，建议在以下四类实习中挑选一类进行短期实习，并写出不少于</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千字的实习报告：（</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）中小学以及各类社会教育培训机构实习；（</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）媒体或文化、出版机构实习；（</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）政府机关、企事业单位实习；（</w:t>
            </w: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）与专业相关的调研活动。</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全部课程考试成绩合格后进行毕业考核。</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综合考试注重考核应考者应用专业知识分析问题、解决问题的能力。</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毕业论文字数原则上不少于</w:t>
            </w: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千字，要求主题鲜明，观点正确，联系实际，层次清楚，语言流畅。论文须经审查答辩后评定成绩。评定成绩采用四级评定制方法，即优秀、良好、及格、不及格。</w:t>
            </w:r>
          </w:p>
          <w:p>
            <w:pPr>
              <w:pStyle w:val="4"/>
              <w:snapToGrid w:val="0"/>
              <w:spacing w:line="360" w:lineRule="auto"/>
              <w:ind w:firstLine="560" w:firstLineChars="200"/>
              <w:jc w:val="left"/>
              <w:rPr>
                <w:rFonts w:ascii="仿宋_GB2312" w:hAnsi="仿宋_GB2312" w:eastAsia="仿宋_GB2312" w:cs="仿宋_GB2312"/>
                <w:sz w:val="28"/>
                <w:szCs w:val="28"/>
              </w:rPr>
            </w:pPr>
          </w:p>
        </w:tc>
      </w:tr>
    </w:tbl>
    <w:p>
      <w:pPr>
        <w:pStyle w:val="2"/>
        <w:bidi w:val="0"/>
        <w:ind w:firstLine="1080" w:firstLineChars="300"/>
        <w:jc w:val="both"/>
        <w:rPr>
          <w:rFonts w:hint="eastAsia" w:ascii="Times New Roman" w:hAnsi="Times New Roman"/>
        </w:rPr>
      </w:pPr>
      <w:r>
        <w:rPr>
          <w:rFonts w:hint="eastAsia" w:ascii="Times New Roman" w:hAnsi="Times New Roman"/>
          <w:lang w:val="en-US" w:eastAsia="zh-CN"/>
        </w:rPr>
        <w:t>汉语言文学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050101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079"/>
        <w:gridCol w:w="4804"/>
        <w:gridCol w:w="850"/>
        <w:gridCol w:w="1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1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00037</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美学</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00536</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古代汉语</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00537</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中国现代文学史</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00538</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中国古代文学史（一）</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00539</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中国古代文学史（二）</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外国文学史</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00541</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语言学概论</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01611</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沟通技巧</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04635</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诗词赏析</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07562</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报告文学研究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10400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中国当代文学名家研究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11213</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语文教学研究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84</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汉语言文学（专升本）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755"/>
        <w:gridCol w:w="2405"/>
        <w:gridCol w:w="628"/>
        <w:gridCol w:w="670"/>
        <w:gridCol w:w="699"/>
        <w:gridCol w:w="2455"/>
        <w:gridCol w:w="636"/>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050105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050101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00536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古代汉语</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00567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马列文论选读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04635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诗词赏析</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00037</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美学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00814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中国古代文论选读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07562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报告文学研究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08101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新闻采访与写作</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01611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沟通技巧</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08103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影视艺术概论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11213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语文教学研究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07562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报告文学研究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10400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中国当代文学名家研究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10543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散文创作与研究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00058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市场营销学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00181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广告学（一）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00634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广告策划</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传播学概论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28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汉语言文学（专升本）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54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820"/>
        <w:gridCol w:w="2639"/>
        <w:gridCol w:w="727"/>
        <w:gridCol w:w="725"/>
        <w:gridCol w:w="820"/>
        <w:gridCol w:w="2696"/>
        <w:gridCol w:w="728"/>
        <w:gridCol w:w="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28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28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 xml:space="preserve">汉语言文学教育（专升本）， </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050113</w:t>
            </w:r>
          </w:p>
        </w:tc>
        <w:tc>
          <w:tcPr>
            <w:tcW w:w="23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050101</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7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4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4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00015</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英语（二）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00536</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古代汉语</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计算机应用基础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07562</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报告文学研究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00442</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教育学（二）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01611</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沟通技巧</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00537</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中国现代文学史</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00538</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中国古代文学史（一）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00539</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中国古代文学史（二）</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00540</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外国文学史</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00541</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语言学概论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02111</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教育心理学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00037</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美学</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05687</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中学语文课程标准研究</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11213</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语文教学研究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04635</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诗词赏析</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10400</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中国当代文学名家研究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汉语言文学（专升本）专业考试计划对应衔接表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31"/>
        <w:gridCol w:w="639"/>
        <w:gridCol w:w="677"/>
        <w:gridCol w:w="708"/>
        <w:gridCol w:w="2481"/>
        <w:gridCol w:w="640"/>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汉语言文学</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D050105</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汉语言文学</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H050101</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6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00015</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英语（二）</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00536</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古代汉语</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8</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00537</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中国现代文学史</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00537</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中国现代文学史</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中国古代文学史（一）</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中国古代文学史（一）</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中国古代文学史（二）</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中国古代文学史（二）</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00540</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外国文学史</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00540</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外国文学史</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00541</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语言学概论</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00541</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语言学概论</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00814</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中国古代文论选读</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01611</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沟通技巧</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00815</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西方文论选读</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04635</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诗词赏析</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00816</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文艺心理学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07562</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报告文学研究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文献学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10400</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中国当代文学名家研究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训诂学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14</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11213</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语文教学研究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汉语言文学（专升本）专业考试计划对应衔接表</w:t>
      </w:r>
    </w:p>
    <w:tbl>
      <w:tblPr>
        <w:tblStyle w:val="5"/>
        <w:tblW w:w="496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749"/>
        <w:gridCol w:w="2404"/>
        <w:gridCol w:w="657"/>
        <w:gridCol w:w="663"/>
        <w:gridCol w:w="692"/>
        <w:gridCol w:w="2457"/>
        <w:gridCol w:w="659"/>
        <w:gridCol w:w="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02"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6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02"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 xml:space="preserve">汉语言文学教育（专升本）， </w:t>
            </w:r>
            <w:r>
              <w:rPr>
                <w:rFonts w:hint="default" w:ascii="Times New Roman" w:hAnsi="Times New Roman" w:eastAsia="黑体" w:cs="Times New Roman"/>
                <w:b w:val="0"/>
                <w:bCs w:val="0"/>
                <w:color w:val="auto"/>
                <w:kern w:val="0"/>
                <w:sz w:val="18"/>
                <w:szCs w:val="18"/>
                <w:lang w:val="en-US" w:eastAsia="zh-CN"/>
              </w:rPr>
              <w:t>B050113</w:t>
            </w:r>
          </w:p>
        </w:tc>
        <w:tc>
          <w:tcPr>
            <w:tcW w:w="2333"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汉语言文学（专升本），H</w:t>
            </w:r>
            <w:r>
              <w:rPr>
                <w:rFonts w:hint="default" w:ascii="Times New Roman" w:hAnsi="Times New Roman" w:eastAsia="黑体" w:cs="Times New Roman"/>
                <w:b w:val="0"/>
                <w:bCs w:val="0"/>
                <w:color w:val="auto"/>
                <w:kern w:val="0"/>
                <w:sz w:val="18"/>
                <w:szCs w:val="18"/>
                <w:lang w:val="en-US" w:eastAsia="zh-CN"/>
              </w:rPr>
              <w:t>050101</w:t>
            </w:r>
          </w:p>
        </w:tc>
        <w:tc>
          <w:tcPr>
            <w:tcW w:w="36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1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4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4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4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6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4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6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00536</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古代汉语</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00018</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计算机应用基础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07562</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报告文学研究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00442</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教育学（二）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01611</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沟通技巧</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00537</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中国现代文学史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00537</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中国现代文学史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00538</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中国古代文学史（一）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00538</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中国古代文学史（一）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00539</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中国古代文学史（二）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00539</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中国古代文学史（二）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00541</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语言学概论</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00541</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语言学概论</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05687</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中学语文课程标准研究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11213</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语文教学研究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00540</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外国文学史</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00540</w:t>
            </w:r>
          </w:p>
        </w:tc>
        <w:tc>
          <w:tcPr>
            <w:tcW w:w="1282"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外国文学史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00814</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中国古代文论选读</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12</w:t>
            </w:r>
          </w:p>
        </w:tc>
        <w:tc>
          <w:tcPr>
            <w:tcW w:w="36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10400</w:t>
            </w:r>
          </w:p>
        </w:tc>
        <w:tc>
          <w:tcPr>
            <w:tcW w:w="1282" w:type="pct"/>
            <w:tcBorders>
              <w:tl2br w:val="nil"/>
              <w:tr2bl w:val="nil"/>
            </w:tcBorders>
            <w:noWrap w:val="0"/>
            <w:vAlign w:val="center"/>
          </w:tcPr>
          <w:p>
            <w:pPr>
              <w:snapToGrid w:val="0"/>
              <w:jc w:val="both"/>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中国当代文学名家研究</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6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00818</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文献学</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04635</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诗词赏析</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00819</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训诂学</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ascii="宋体" w:hAnsi="宋体" w:cs="宋体"/>
                <w:b w:val="0"/>
                <w:bCs w:val="0"/>
                <w:color w:val="auto"/>
                <w:kern w:val="2"/>
                <w:sz w:val="18"/>
                <w:szCs w:val="18"/>
                <w:lang w:val="en-US" w:eastAsia="zh-CN" w:bidi="ar-SA"/>
              </w:rPr>
              <w:t>14</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15</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02111</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教育心理学</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汉语言文学（专升本）专业教材明细表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3"/>
        <w:gridCol w:w="1372"/>
        <w:gridCol w:w="930"/>
        <w:gridCol w:w="795"/>
        <w:gridCol w:w="2010"/>
        <w:gridCol w:w="2910"/>
        <w:gridCol w:w="1380"/>
        <w:gridCol w:w="2685"/>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00037</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朱立元</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00536</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古代汉语</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古代汉语</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王宁</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00537</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中国现代文学史</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中国现代文学史</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丁帆、朱晓进</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00538</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00539</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00540</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孟昭毅</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00541</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沈阳、贺阳</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01611</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谢红霞</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04635</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诗词赏析</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高校人文通识课程教材：唐宋诗词分类鉴赏</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徐旭平</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07562</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报告文学研究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报告文学现代转型研究</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龚举善</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中国当代文学名家研究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中国现当代作家作品专题研究</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刘增杰</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大象出版社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11213</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语文教学研究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语文教研理论指导</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周小蓬、曾毅、欧治华</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6E8B91-2B3C-4533-AEA2-524C16B903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F042921-9E77-457E-8756-399C634534E3}"/>
  </w:font>
  <w:font w:name="方正小标宋_GBK">
    <w:panose1 w:val="02000000000000000000"/>
    <w:charset w:val="86"/>
    <w:family w:val="script"/>
    <w:pitch w:val="default"/>
    <w:sig w:usb0="A00002BF" w:usb1="38CF7CFA" w:usb2="00082016" w:usb3="00000000" w:csb0="00040001" w:csb1="00000000"/>
    <w:embedRegular r:id="rId3" w:fontKey="{8C0603E8-155B-4FDE-9C4D-E7D5408A11D5}"/>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4" w:fontKey="{A4CE670B-1A4F-442A-AADA-2830D8FB7ADC}"/>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5" w:fontKey="{05A70713-440C-4E9F-A855-E359B1E3A6E2}"/>
  </w:font>
  <w:font w:name="楷体_GB2312">
    <w:altName w:val="楷体"/>
    <w:panose1 w:val="02010609030101010101"/>
    <w:charset w:val="86"/>
    <w:family w:val="modern"/>
    <w:pitch w:val="default"/>
    <w:sig w:usb0="00000000" w:usb1="00000000" w:usb2="00000000" w:usb3="00000000" w:csb0="00040000" w:csb1="00000000"/>
    <w:embedRegular r:id="rId6" w:fontKey="{9F840F83-E4BC-425A-82CD-642B637EECEE}"/>
  </w:font>
  <w:font w:name="方正小标宋简体">
    <w:panose1 w:val="02000000000000000000"/>
    <w:charset w:val="86"/>
    <w:family w:val="script"/>
    <w:pitch w:val="default"/>
    <w:sig w:usb0="00000001" w:usb1="08000000" w:usb2="00000000" w:usb3="00000000" w:csb0="00040000" w:csb1="00000000"/>
    <w:embedRegular r:id="rId7" w:fontKey="{BB9FDB93-865C-41A4-B877-82C4DDEDB0D6}"/>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15503ED"/>
    <w:rsid w:val="3C770B6D"/>
    <w:rsid w:val="686B3224"/>
    <w:rsid w:val="7C58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2023-10-29T04:21:00Z</dcterms:created>
  <dc:creator>Administrator</dc:creator>
  <cp:lastModifiedBy>淡定</cp:lastModifiedBy>
  <dcterms:modified xsi:type="dcterms:W3CDTF">2023-10-29T08:47:52Z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3B80E558A89D48E8915DFE680957D328_12</vt:lpwstr>
  </property>
</Properties>
</file>