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jc w:val="both"/>
              <w:rPr>
                <w:rFonts w:ascii="Times New Roman" w:hAnsi="Times New Roman"/>
                <w:b/>
                <w:bCs/>
                <w:sz w:val="44"/>
                <w:szCs w:val="4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烹饪工艺与营养（专科）专业考试计划</w:t>
            </w:r>
          </w:p>
          <w:p>
            <w:pPr>
              <w:pStyle w:val="4"/>
              <w:jc w:val="center"/>
              <w:rPr>
                <w:rFonts w:ascii="Times New Roman" w:hAnsi="Times New Roman"/>
              </w:rPr>
            </w:pPr>
          </w:p>
          <w:p>
            <w:pPr>
              <w:spacing w:afterLines="200"/>
              <w:jc w:val="center"/>
              <w:rPr>
                <w:rFonts w:ascii="Times New Roman" w:hAnsi="Times New Roman"/>
                <w:szCs w:val="36"/>
              </w:rPr>
            </w:pPr>
          </w:p>
          <w:p>
            <w:pPr>
              <w:spacing w:afterLines="200"/>
              <w:jc w:val="center"/>
              <w:rPr>
                <w:rFonts w:ascii="Times New Roman" w:hAnsi="Times New Roman"/>
                <w:szCs w:val="36"/>
              </w:rPr>
            </w:pPr>
          </w:p>
          <w:p>
            <w:pPr>
              <w:spacing w:afterLines="200"/>
              <w:jc w:val="center"/>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四川旅游学院</w:t>
            </w:r>
          </w:p>
          <w:p>
            <w:pPr>
              <w:spacing w:afterLines="200"/>
              <w:rPr>
                <w:rFonts w:ascii="黑体"/>
                <w:szCs w:val="36"/>
              </w:rPr>
            </w:pPr>
          </w:p>
          <w:p>
            <w:pPr>
              <w:pStyle w:val="4"/>
              <w:jc w:val="both"/>
              <w:rPr>
                <w:rFonts w:ascii="黑体" w:eastAsia="黑体"/>
                <w:szCs w:val="36"/>
              </w:rPr>
            </w:pPr>
          </w:p>
          <w:p>
            <w:pPr>
              <w:pStyle w:val="4"/>
              <w:jc w:val="both"/>
              <w:rPr>
                <w:rFonts w:ascii="黑体" w:eastAsia="黑体"/>
                <w:szCs w:val="36"/>
              </w:rPr>
            </w:pPr>
          </w:p>
          <w:p>
            <w:pPr>
              <w:pStyle w:val="4"/>
              <w:jc w:val="both"/>
              <w:rPr>
                <w:rFonts w:ascii="黑体" w:eastAsia="黑体"/>
                <w:szCs w:val="36"/>
              </w:rPr>
            </w:pPr>
          </w:p>
          <w:p>
            <w:pPr>
              <w:pStyle w:val="4"/>
              <w:jc w:val="both"/>
              <w:rPr>
                <w:rFonts w:ascii="黑体" w:eastAsia="黑体"/>
                <w:szCs w:val="36"/>
              </w:rPr>
            </w:pPr>
          </w:p>
          <w:p>
            <w:pPr>
              <w:pStyle w:val="4"/>
              <w:jc w:val="both"/>
              <w:rPr>
                <w:rFonts w:ascii="黑体" w:eastAsia="黑体"/>
                <w:szCs w:val="36"/>
              </w:rPr>
            </w:pPr>
          </w:p>
          <w:p>
            <w:pPr>
              <w:pStyle w:val="4"/>
              <w:jc w:val="both"/>
              <w:rPr>
                <w:rFonts w:ascii="黑体" w:eastAsia="黑体"/>
                <w:szCs w:val="36"/>
              </w:rPr>
            </w:pPr>
          </w:p>
          <w:p>
            <w:pPr>
              <w:spacing w:afterLines="200"/>
              <w:jc w:val="both"/>
              <w:rPr>
                <w:rFonts w:ascii="黑体" w:hAnsi="宋体"/>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w:t>
            </w:r>
            <w:r>
              <w:rPr>
                <w:rFonts w:hint="eastAsia" w:eastAsia="黑体" w:cs="方正仿宋_GBK"/>
                <w:kern w:val="0"/>
                <w:szCs w:val="22"/>
                <w:lang w:val="en-US"/>
              </w:rPr>
              <w:t>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jc w:val="center"/>
            </w:pPr>
          </w:p>
          <w:p>
            <w:pPr>
              <w:pStyle w:val="4"/>
              <w:jc w:val="center"/>
            </w:pP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习近平新时代中国特色社会主义思想为指导，落实立德树人根本任务，细化落实《高等教育自学考试专业设置实施细则》要求，为适应我国社会主义市场经济与区域社会发展的需要，造就和选拔具有扎实理论知识基础和较高</w:t>
            </w:r>
            <w:r>
              <w:rPr>
                <w:rFonts w:hint="eastAsia" w:ascii="仿宋_GB2312" w:hAnsi="仿宋_GB2312" w:eastAsia="仿宋_GB2312" w:cs="仿宋_GB2312"/>
                <w:color w:val="000000"/>
                <w:sz w:val="28"/>
                <w:szCs w:val="28"/>
                <w:lang w:val="en-US"/>
              </w:rPr>
              <w:t>烹饪工艺与营养专业理论与实践</w:t>
            </w:r>
            <w:r>
              <w:rPr>
                <w:rFonts w:hint="eastAsia" w:ascii="仿宋_GB2312" w:hAnsi="仿宋_GB2312" w:eastAsia="仿宋_GB2312" w:cs="仿宋_GB2312"/>
                <w:color w:val="000000"/>
                <w:sz w:val="28"/>
                <w:szCs w:val="28"/>
              </w:rPr>
              <w:t>操作能力的</w:t>
            </w:r>
            <w:r>
              <w:rPr>
                <w:rFonts w:hint="eastAsia" w:ascii="仿宋_GB2312" w:hAnsi="仿宋_GB2312" w:eastAsia="仿宋_GB2312" w:cs="仿宋_GB2312"/>
                <w:color w:val="000000"/>
                <w:sz w:val="28"/>
                <w:szCs w:val="28"/>
                <w:lang w:val="en-US"/>
              </w:rPr>
              <w:t>高素质技术技能型</w:t>
            </w:r>
            <w:r>
              <w:rPr>
                <w:rFonts w:hint="eastAsia" w:ascii="仿宋_GB2312" w:hAnsi="仿宋_GB2312" w:eastAsia="仿宋_GB2312" w:cs="仿宋_GB2312"/>
                <w:color w:val="000000"/>
                <w:sz w:val="28"/>
                <w:szCs w:val="28"/>
              </w:rPr>
              <w:t>人才而设置的，在培养考生基本知识、基本理论和基本能力的基础上，结合高等教育自学考试的特点，着重考核考生对专业基础知识的掌握，以及运用所学知识分析、解决烹饪工艺与营养</w:t>
            </w:r>
            <w:r>
              <w:rPr>
                <w:rFonts w:hint="eastAsia" w:ascii="仿宋_GB2312" w:hAnsi="仿宋_GB2312" w:eastAsia="仿宋_GB2312" w:cs="仿宋_GB2312"/>
                <w:color w:val="000000"/>
                <w:sz w:val="28"/>
                <w:szCs w:val="28"/>
                <w:lang w:val="en-US"/>
              </w:rPr>
              <w:t>方面</w:t>
            </w:r>
            <w:r>
              <w:rPr>
                <w:rFonts w:hint="eastAsia" w:ascii="仿宋_GB2312" w:hAnsi="仿宋_GB2312" w:eastAsia="仿宋_GB2312" w:cs="仿宋_GB2312"/>
                <w:color w:val="000000"/>
                <w:sz w:val="28"/>
                <w:szCs w:val="28"/>
              </w:rPr>
              <w:t>实际问题的能力。</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w:t>
            </w:r>
            <w:r>
              <w:rPr>
                <w:rFonts w:hint="eastAsia" w:ascii="仿宋_GB2312" w:hAnsi="仿宋_GB2312" w:eastAsia="仿宋_GB2312" w:cs="仿宋_GB2312"/>
                <w:color w:val="000000"/>
                <w:sz w:val="28"/>
                <w:szCs w:val="28"/>
                <w:lang w:val="en-US"/>
              </w:rPr>
              <w:t>烹饪工艺与营养</w:t>
            </w:r>
            <w:r>
              <w:rPr>
                <w:rFonts w:hint="eastAsia" w:ascii="仿宋_GB2312" w:hAnsi="仿宋_GB2312" w:eastAsia="仿宋_GB2312" w:cs="仿宋_GB2312"/>
                <w:color w:val="000000"/>
                <w:sz w:val="28"/>
                <w:szCs w:val="28"/>
              </w:rPr>
              <w:t>（专科）专业的学历层次为专科，专业大类为</w:t>
            </w:r>
            <w:r>
              <w:rPr>
                <w:rFonts w:hint="eastAsia" w:ascii="仿宋_GB2312" w:hAnsi="仿宋_GB2312" w:eastAsia="仿宋_GB2312" w:cs="仿宋_GB2312"/>
                <w:color w:val="000000"/>
                <w:sz w:val="28"/>
                <w:szCs w:val="28"/>
                <w:lang w:val="en-US"/>
              </w:rPr>
              <w:t>旅游</w:t>
            </w:r>
            <w:r>
              <w:rPr>
                <w:rFonts w:hint="eastAsia" w:ascii="仿宋_GB2312" w:hAnsi="仿宋_GB2312" w:eastAsia="仿宋_GB2312" w:cs="仿宋_GB2312"/>
                <w:color w:val="000000"/>
                <w:sz w:val="28"/>
                <w:szCs w:val="28"/>
              </w:rPr>
              <w:t>大类，专业类别为</w:t>
            </w:r>
            <w:r>
              <w:rPr>
                <w:rFonts w:hint="eastAsia" w:ascii="仿宋_GB2312" w:hAnsi="仿宋_GB2312" w:eastAsia="仿宋_GB2312" w:cs="仿宋_GB2312"/>
                <w:color w:val="000000"/>
                <w:sz w:val="28"/>
                <w:szCs w:val="28"/>
                <w:lang w:val="en-US"/>
              </w:rPr>
              <w:t>餐饮</w:t>
            </w:r>
            <w:r>
              <w:rPr>
                <w:rFonts w:hint="eastAsia" w:ascii="仿宋_GB2312" w:hAnsi="仿宋_GB2312" w:eastAsia="仿宋_GB2312" w:cs="仿宋_GB2312"/>
                <w:color w:val="000000"/>
                <w:sz w:val="28"/>
                <w:szCs w:val="28"/>
              </w:rPr>
              <w:t>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本专业考试计划规定考试课程门数为</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门，总学分</w:t>
            </w:r>
            <w:r>
              <w:rPr>
                <w:rFonts w:ascii="仿宋_GB2312" w:hAnsi="仿宋_GB2312" w:eastAsia="仿宋_GB2312" w:cs="仿宋_GB2312"/>
                <w:color w:val="000000"/>
                <w:sz w:val="28"/>
                <w:szCs w:val="28"/>
              </w:rPr>
              <w:t>7</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分。课程按百分制计分，</w:t>
            </w:r>
            <w:r>
              <w:rPr>
                <w:rFonts w:ascii="仿宋_GB2312" w:hAnsi="仿宋_GB2312" w:eastAsia="仿宋_GB2312" w:cs="仿宋_GB2312"/>
                <w:color w:val="000000"/>
                <w:sz w:val="28"/>
                <w:szCs w:val="28"/>
              </w:rPr>
              <w:t>60</w:t>
            </w:r>
            <w:r>
              <w:rPr>
                <w:rFonts w:hint="eastAsia" w:ascii="仿宋_GB2312" w:hAnsi="仿宋_GB2312" w:eastAsia="仿宋_GB2312" w:cs="仿宋_GB2312"/>
                <w:color w:val="000000"/>
                <w:sz w:val="28"/>
                <w:szCs w:val="28"/>
              </w:rPr>
              <w:t>分为合格，每门课程考试成绩合格者，可获得本课程的相应学分，考试课程相关的实践考核环节部分不单独计入课程总门数。</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取得本专业所规定的全部课程考试合格成绩和规定学分，实践环节考核合格，思想品德经鉴定符合要求者，经审核通过，由四川省高等教育招生考试委员会颁发自学考试烹饪工艺与营养专业专科毕业证书，主考学校副署，国家承认学历。</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培养目标：本专业培养理想信念坚定，德、智、体、美、劳全面发展，具有一定的科学文化水平，良好的人文素养、职业道德和创新意识，精益求精的工匠精神，较强的职业能力和可持续发展的能力，掌握烹</w:t>
            </w:r>
            <w:bookmarkStart w:id="0" w:name="_Hlk43637574"/>
            <w:r>
              <w:rPr>
                <w:rFonts w:hint="eastAsia" w:ascii="仿宋_GB2312" w:hAnsi="仿宋_GB2312" w:eastAsia="仿宋_GB2312" w:cs="仿宋_GB2312"/>
                <w:color w:val="000000"/>
                <w:sz w:val="28"/>
                <w:szCs w:val="28"/>
              </w:rPr>
              <w:t>饪</w:t>
            </w:r>
            <w:bookmarkEnd w:id="0"/>
            <w:r>
              <w:rPr>
                <w:rFonts w:hint="eastAsia" w:ascii="仿宋_GB2312" w:hAnsi="仿宋_GB2312" w:eastAsia="仿宋_GB2312" w:cs="仿宋_GB2312"/>
                <w:color w:val="000000"/>
                <w:sz w:val="28"/>
                <w:szCs w:val="28"/>
              </w:rPr>
              <w:t>工艺、烹饪营养等基本知识，具备烹饪原料选用及食品安全控制等能力，具有较强的实践能力，能在现代餐饮、酒店、旅游等企事业单位从事餐饮一线生产和经营管理</w:t>
            </w:r>
            <w:r>
              <w:rPr>
                <w:rFonts w:hint="eastAsia" w:ascii="仿宋_GB2312" w:hAnsi="仿宋_GB2312" w:eastAsia="仿宋_GB2312" w:cs="仿宋_GB2312"/>
                <w:color w:val="000000"/>
                <w:sz w:val="28"/>
                <w:szCs w:val="28"/>
                <w:lang w:val="en-US"/>
              </w:rPr>
              <w:t>等方面工作的专业技术及管理人才</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要求：本专业要求初步掌握基础化学、烹饪营养、餐饮安全等方面的基本理论和基本知识，掌握食品检验、营养配餐、食品安全控制等方面的基本技能，具有烹饪实践操作、烹饪原料选择和刀工处理、厨房生产组织和管理的实际应用能力。主要包括：</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初步掌握烹调工艺与营养学科的基本理论、基本知识、基本方法；</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掌握食品安全评价与控制、食品营养配餐和风味品评的基本技能；</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具有厨房生产组织和管理的基本能力以及烹饪实践操作的基本</w:t>
            </w:r>
            <w:r>
              <w:rPr>
                <w:rFonts w:hint="eastAsia" w:ascii="仿宋_GB2312" w:hAnsi="仿宋_GB2312" w:eastAsia="仿宋_GB2312" w:cs="仿宋_GB2312"/>
                <w:color w:val="000000"/>
                <w:sz w:val="28"/>
                <w:szCs w:val="28"/>
                <w:lang w:eastAsia="zh-CN"/>
              </w:rPr>
              <w:t>技术</w:t>
            </w:r>
            <w:r>
              <w:rPr>
                <w:rFonts w:hint="eastAsia" w:ascii="仿宋_GB2312" w:hAnsi="仿宋_GB2312" w:eastAsia="仿宋_GB2312" w:cs="仿宋_GB2312"/>
                <w:color w:val="000000"/>
                <w:sz w:val="28"/>
                <w:szCs w:val="28"/>
              </w:rPr>
              <w:t>；</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具备正确使用与本专业有关的手册、标准等技术资料的能力；</w:t>
            </w:r>
          </w:p>
          <w:p>
            <w:pPr>
              <w:pStyle w:val="4"/>
              <w:autoSpaceDE/>
              <w:autoSpaceDN/>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kern w:val="2"/>
                <w:sz w:val="28"/>
                <w:szCs w:val="28"/>
                <w:lang w:val="en-US"/>
              </w:rPr>
              <w:t>具有较强的社会责任感与良好的职业道德，具备环境保护意识和安全生产知识，熟悉国家餐饮食品安全领域的基本政策和法规。</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rPr>
              <w:t>专业代码：</w:t>
            </w:r>
            <w:r>
              <w:rPr>
                <w:rFonts w:ascii="仿宋_GB2312" w:hAnsi="仿宋_GB2312" w:eastAsia="仿宋_GB2312" w:cs="仿宋_GB2312"/>
                <w:bCs/>
                <w:sz w:val="28"/>
                <w:szCs w:val="28"/>
                <w:lang w:val="en-US"/>
              </w:rPr>
              <w:t>540202</w:t>
            </w:r>
          </w:p>
          <w:tbl>
            <w:tblPr>
              <w:tblStyle w:val="5"/>
              <w:tblW w:w="4996"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03"/>
              <w:gridCol w:w="626"/>
              <w:gridCol w:w="1082"/>
              <w:gridCol w:w="3197"/>
              <w:gridCol w:w="728"/>
              <w:gridCol w:w="854"/>
              <w:gridCol w:w="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377"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6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19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43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51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5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377"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6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03706</w:t>
                  </w:r>
                </w:p>
              </w:tc>
              <w:tc>
                <w:tcPr>
                  <w:tcW w:w="19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思想道德修养与法律基础</w:t>
                  </w:r>
                </w:p>
              </w:tc>
              <w:tc>
                <w:tcPr>
                  <w:tcW w:w="43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1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6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12656</w:t>
                  </w:r>
                </w:p>
              </w:tc>
              <w:tc>
                <w:tcPr>
                  <w:tcW w:w="19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毛泽东思想和中国特色社会主义理论体系概论</w:t>
                  </w:r>
                </w:p>
              </w:tc>
              <w:tc>
                <w:tcPr>
                  <w:tcW w:w="43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1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6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04729</w:t>
                  </w:r>
                </w:p>
              </w:tc>
              <w:tc>
                <w:tcPr>
                  <w:tcW w:w="19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大学语文</w:t>
                  </w:r>
                </w:p>
              </w:tc>
              <w:tc>
                <w:tcPr>
                  <w:tcW w:w="43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1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37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652"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02517</w:t>
                  </w:r>
                </w:p>
              </w:tc>
              <w:tc>
                <w:tcPr>
                  <w:tcW w:w="192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食品微生物学</w:t>
                  </w:r>
                </w:p>
              </w:tc>
              <w:tc>
                <w:tcPr>
                  <w:tcW w:w="439"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1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52"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02518</w:t>
                  </w:r>
                </w:p>
              </w:tc>
              <w:tc>
                <w:tcPr>
                  <w:tcW w:w="192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食品微生物学（实践）</w:t>
                  </w:r>
                </w:p>
              </w:tc>
              <w:tc>
                <w:tcPr>
                  <w:tcW w:w="439"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652"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02526</w:t>
                  </w:r>
                </w:p>
              </w:tc>
              <w:tc>
                <w:tcPr>
                  <w:tcW w:w="1925"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烹饪工艺学</w:t>
                  </w:r>
                </w:p>
              </w:tc>
              <w:tc>
                <w:tcPr>
                  <w:tcW w:w="439"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15"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6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02527</w:t>
                  </w:r>
                </w:p>
              </w:tc>
              <w:tc>
                <w:tcPr>
                  <w:tcW w:w="19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烹饪化学基础</w:t>
                  </w:r>
                </w:p>
              </w:tc>
              <w:tc>
                <w:tcPr>
                  <w:tcW w:w="43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1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652"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04167</w:t>
                  </w:r>
                </w:p>
              </w:tc>
              <w:tc>
                <w:tcPr>
                  <w:tcW w:w="192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食品分析与感官评定</w:t>
                  </w:r>
                </w:p>
              </w:tc>
              <w:tc>
                <w:tcPr>
                  <w:tcW w:w="439"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1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52"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04986</w:t>
                  </w:r>
                </w:p>
              </w:tc>
              <w:tc>
                <w:tcPr>
                  <w:tcW w:w="1925"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食品分析与感官评定（实践）</w:t>
                  </w:r>
                </w:p>
              </w:tc>
              <w:tc>
                <w:tcPr>
                  <w:tcW w:w="439"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515"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4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652"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06203</w:t>
                  </w:r>
                </w:p>
              </w:tc>
              <w:tc>
                <w:tcPr>
                  <w:tcW w:w="192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中国风味流派与菜肴</w:t>
                  </w:r>
                </w:p>
              </w:tc>
              <w:tc>
                <w:tcPr>
                  <w:tcW w:w="439"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1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652"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06204</w:t>
                  </w:r>
                </w:p>
              </w:tc>
              <w:tc>
                <w:tcPr>
                  <w:tcW w:w="192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中国风味流派与菜肴（实践）</w:t>
                  </w:r>
                </w:p>
              </w:tc>
              <w:tc>
                <w:tcPr>
                  <w:tcW w:w="439"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课</w:t>
                  </w:r>
                </w:p>
              </w:tc>
              <w:tc>
                <w:tcPr>
                  <w:tcW w:w="37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6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02525</w:t>
                  </w:r>
                </w:p>
              </w:tc>
              <w:tc>
                <w:tcPr>
                  <w:tcW w:w="19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烹饪原料学</w:t>
                  </w:r>
                </w:p>
              </w:tc>
              <w:tc>
                <w:tcPr>
                  <w:tcW w:w="439"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1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652" w:type="pct"/>
                  <w:tcBorders>
                    <w:top w:val="single" w:color="000000" w:sz="2" w:space="0"/>
                    <w:left w:val="single" w:color="000000" w:sz="2" w:space="0"/>
                    <w:bottom w:val="single" w:color="auto" w:sz="4" w:space="0"/>
                    <w:right w:val="single" w:color="000000" w:sz="2" w:space="0"/>
                  </w:tcBorders>
                  <w:vAlign w:val="center"/>
                </w:tcPr>
                <w:p>
                  <w:pPr>
                    <w:widowControl/>
                    <w:snapToGrid w:val="0"/>
                    <w:textAlignment w:val="center"/>
                    <w:rPr>
                      <w:rFonts w:ascii="仿宋_GB2312" w:hAnsi="仿宋_GB2312" w:eastAsia="仿宋_GB2312" w:cs="仿宋_GB2312"/>
                      <w:bCs/>
                      <w:color w:val="000000"/>
                      <w:kern w:val="2"/>
                      <w:sz w:val="24"/>
                      <w:szCs w:val="24"/>
                      <w:lang w:val="en-US"/>
                    </w:rPr>
                  </w:pPr>
                  <w:r>
                    <w:rPr>
                      <w:rFonts w:ascii="仿宋_GB2312" w:hAnsi="仿宋_GB2312" w:eastAsia="仿宋_GB2312" w:cs="仿宋_GB2312"/>
                      <w:bCs/>
                      <w:sz w:val="24"/>
                      <w:szCs w:val="24"/>
                      <w:lang w:val="en-US"/>
                    </w:rPr>
                    <w:t>02528</w:t>
                  </w:r>
                </w:p>
              </w:tc>
              <w:tc>
                <w:tcPr>
                  <w:tcW w:w="192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烹饪营养学</w:t>
                  </w:r>
                </w:p>
              </w:tc>
              <w:tc>
                <w:tcPr>
                  <w:tcW w:w="439"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652"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11132</w:t>
                  </w:r>
                </w:p>
              </w:tc>
              <w:tc>
                <w:tcPr>
                  <w:tcW w:w="192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食品雕刻（实践）</w:t>
                  </w:r>
                </w:p>
              </w:tc>
              <w:tc>
                <w:tcPr>
                  <w:tcW w:w="439" w:type="pct"/>
                  <w:tcBorders>
                    <w:top w:val="single" w:color="000000" w:sz="2" w:space="0"/>
                    <w:left w:val="single" w:color="000000" w:sz="2" w:space="0"/>
                    <w:bottom w:val="single" w:color="auto" w:sz="4"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ascii="仿宋_GB2312" w:hAnsi="仿宋_GB2312" w:eastAsia="仿宋_GB2312" w:cs="仿宋_GB2312"/>
                      <w:bCs/>
                      <w:color w:val="000000"/>
                      <w:sz w:val="24"/>
                      <w:szCs w:val="24"/>
                      <w:lang w:val="en-US"/>
                    </w:rPr>
                    <w:t>5</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sz w:val="24"/>
                      <w:szCs w:val="24"/>
                      <w:lang w:val="en-US"/>
                    </w:rPr>
                    <w:t>实践</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652"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02532</w:t>
                  </w:r>
                </w:p>
              </w:tc>
              <w:tc>
                <w:tcPr>
                  <w:tcW w:w="1925"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筵席设计及餐厅服务</w:t>
                  </w:r>
                </w:p>
              </w:tc>
              <w:tc>
                <w:tcPr>
                  <w:tcW w:w="439"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kern w:val="2"/>
                      <w:sz w:val="24"/>
                      <w:szCs w:val="24"/>
                      <w:lang w:val="en-US"/>
                    </w:rPr>
                  </w:pPr>
                  <w:r>
                    <w:rPr>
                      <w:rFonts w:ascii="仿宋_GB2312" w:hAnsi="仿宋_GB2312" w:eastAsia="仿宋_GB2312" w:cs="仿宋_GB2312"/>
                      <w:bCs/>
                      <w:sz w:val="24"/>
                      <w:szCs w:val="24"/>
                      <w:lang w:val="en-US"/>
                    </w:rPr>
                    <w:t>4</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6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02524</w:t>
                  </w:r>
                </w:p>
              </w:tc>
              <w:tc>
                <w:tcPr>
                  <w:tcW w:w="192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烹饪学概论</w:t>
                  </w:r>
                </w:p>
              </w:tc>
              <w:tc>
                <w:tcPr>
                  <w:tcW w:w="439"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5</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652"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02531</w:t>
                  </w:r>
                </w:p>
              </w:tc>
              <w:tc>
                <w:tcPr>
                  <w:tcW w:w="192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面点工艺学</w:t>
                  </w:r>
                </w:p>
              </w:tc>
              <w:tc>
                <w:tcPr>
                  <w:tcW w:w="439"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15</w:t>
                  </w:r>
                </w:p>
              </w:tc>
              <w:tc>
                <w:tcPr>
                  <w:tcW w:w="652"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08430</w:t>
                  </w:r>
                </w:p>
              </w:tc>
              <w:tc>
                <w:tcPr>
                  <w:tcW w:w="192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西餐工艺学</w:t>
                  </w:r>
                </w:p>
              </w:tc>
              <w:tc>
                <w:tcPr>
                  <w:tcW w:w="439"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1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54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4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377"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52"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08431</w:t>
                  </w:r>
                </w:p>
              </w:tc>
              <w:tc>
                <w:tcPr>
                  <w:tcW w:w="1925" w:type="pct"/>
                  <w:tcBorders>
                    <w:top w:val="single" w:color="auto" w:sz="4" w:space="0"/>
                    <w:left w:val="single" w:color="000000" w:sz="2" w:space="0"/>
                    <w:bottom w:val="single" w:color="000000" w:sz="2" w:space="0"/>
                    <w:right w:val="single" w:color="auto" w:sz="4"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西餐工艺学（实践）</w:t>
                  </w:r>
                </w:p>
              </w:tc>
              <w:tc>
                <w:tcPr>
                  <w:tcW w:w="439" w:type="pct"/>
                  <w:tcBorders>
                    <w:top w:val="single" w:color="auto" w:sz="4" w:space="0"/>
                    <w:left w:val="single" w:color="auto" w:sz="4" w:space="0"/>
                    <w:bottom w:val="single" w:color="000000" w:sz="2" w:space="0"/>
                    <w:right w:val="single" w:color="auto" w:sz="4"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15" w:type="pct"/>
                  <w:tcBorders>
                    <w:top w:val="single" w:color="auto" w:sz="4" w:space="0"/>
                    <w:left w:val="single" w:color="auto" w:sz="4"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54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500" w:type="pct"/>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总学分</w:t>
                  </w:r>
                </w:p>
              </w:tc>
              <w:tc>
                <w:tcPr>
                  <w:tcW w:w="1499" w:type="pct"/>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71</w:t>
                  </w:r>
                </w:p>
              </w:tc>
            </w:tr>
          </w:tbl>
          <w:p>
            <w:pPr>
              <w:autoSpaceDE/>
              <w:autoSpaceDN/>
              <w:snapToGrid w:val="0"/>
              <w:spacing w:line="360" w:lineRule="auto"/>
              <w:ind w:firstLine="562"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
                <w:color w:val="000000"/>
                <w:sz w:val="28"/>
                <w:szCs w:val="28"/>
                <w:lang w:val="en-US"/>
              </w:rPr>
              <w:t>五</w:t>
            </w:r>
            <w:r>
              <w:rPr>
                <w:rFonts w:hint="eastAsia" w:ascii="仿宋_GB2312" w:hAnsi="仿宋_GB2312" w:eastAsia="仿宋_GB2312" w:cs="仿宋_GB2312"/>
                <w:b/>
                <w:color w:val="000000"/>
                <w:sz w:val="28"/>
                <w:szCs w:val="28"/>
              </w:rPr>
              <w:t>、</w:t>
            </w:r>
            <w:r>
              <w:rPr>
                <w:rFonts w:hint="eastAsia" w:ascii="仿宋_GB2312" w:hAnsi="仿宋_GB2312" w:eastAsia="仿宋_GB2312" w:cs="仿宋_GB2312"/>
                <w:b/>
                <w:color w:val="000000"/>
                <w:sz w:val="28"/>
                <w:szCs w:val="28"/>
                <w:lang w:val="en-US"/>
              </w:rPr>
              <w:t>主要课程说明</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食品微生物学</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系统地介绍了食品微生物及其生长的基本知识，食品的微生物污染及腐败变质，微生物在食品制造中的应用，食品微生物学检验以及质量控制。通过学习本课程，使学生认识到研究食品微生物的目的是为生产服务，使学生能够更好地利用有益微生物，控制和改造有害微生物，为人类生产出更好的食品。</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烹饪工艺学</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烹饪原料的加工原理及工艺、刀工原理及刀工技术、加热对烹饪原料的影响、味型的调制、菜肴的烹制工艺等内容。通过学习本课程，使学生了解原料的选择与加工、预制调配工艺、菜肴与筵席组配、菜品装饰与美化、调味的概念与原理、调味的方法与应用、调香的原理及方法、制熟的概念与原理、制熟的工艺等方面的概念，为今后的实践课程与职业生涯打造坚实的理论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烹饪化学基础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食物在烹饪加工中的理化性质、物质变化规律，把食品的物质组成、物质状态和物质变化与食品的属性，特别是与烹饪加工工艺特性及菜肴的色、香、味、型、质等感官性能的关系联系在一起，清晰地阐述了烹调加工中有关方法的科学原理、工艺条件和技术关键。通过学习本课程，使学生了解食物原料在加工烹饪过程中各种成分理化性质的改变，使学生具备对菜品呈现的色、香、味、型、质等感官性能分析的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食品分析与感官评定</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本课程主要内容为食品感官评定的概述；食品感官评定的生理与心理基础；食品感官评定中的主要感觉；食品感官评价的组织；感官评定常用的差别试验、分级试验、排列试验、分析或描述试验；</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食品感官检验与仪器分析的关系；食品感官分析的应用；食品感官评定试验设计等。通过学习本课程，使学生利用人体感官对食品进行分析鉴别的方法，对食品的各项指标如色、香、味、硬度等做出评判，然后对</w:t>
            </w:r>
            <w:r>
              <w:rPr>
                <w:rFonts w:hint="eastAsia" w:ascii="仿宋_GB2312" w:hAnsi="仿宋_GB2312" w:eastAsia="仿宋_GB2312" w:cs="仿宋_GB2312"/>
                <w:bCs/>
                <w:kern w:val="2"/>
                <w:sz w:val="28"/>
                <w:szCs w:val="28"/>
                <w:lang w:val="en-US" w:eastAsia="zh-CN"/>
              </w:rPr>
              <w:t>实验</w:t>
            </w:r>
            <w:r>
              <w:rPr>
                <w:rFonts w:hint="eastAsia" w:ascii="仿宋_GB2312" w:hAnsi="仿宋_GB2312" w:eastAsia="仿宋_GB2312" w:cs="仿宋_GB2312"/>
                <w:bCs/>
                <w:kern w:val="2"/>
                <w:sz w:val="28"/>
                <w:szCs w:val="28"/>
                <w:lang w:val="en-US"/>
              </w:rPr>
              <w:t>结果进行统计分析，得出结论。使学生对食品感官评价领域有较为全面的了解，掌握食品感官评价基础知识、常用的感官品评方法及其在实际生产中的应用等知识，为学生在工作中进行新产品开发、产品质量的提高、市场调查、产品质量评优等方面奠定基础。</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中国风味流派与菜肴</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中国烹饪不同地域的风味流派的不同的菜肴，各风味流派菜肴的历史发展、种类及质量构成要素，各地各类风味名菜的形成、发展及特点。从名菜赏析、原料组成、烹调方法、工艺流程、制作方法、注意事项和成品特点等方面对各地名菜进行讲解和实践操作。通过学习本课程，使学生充分了解中国饮食文化和代表风味菜系，从而梳理各风味流派菜肴的历史发展、种类及质量构成要素，使学生具备从名菜赏析、原料组成、烹调方法、工艺流程、制作方法、注意事项和成品特点等方面对各地名菜进行讲解和实践操作的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烹饪原料学</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烹饪原料的资源和分类，烹饪原料生物学基础，烹饪原料的色香味形基础和烹饪特性，烹饪原料的品质检验和保藏原理，粮食类烹饪原料，蔬菜类烹饪原料，果品类烹饪原料，花卉药草类原料，畜禽类烹饪原料，蛋品和乳品烹饪原料，鱼类烹饪原料，其他水产品烹饪原料，干货制品类烹饪原料，半成品烹饪原料，调料和食品添加剂，辅助烹饪原料以及烹饪原料的安全性等，较为详细地介绍了烹饪行业当今流行的烹饪原料，并紧密结合烹饪行业对原料的要求，着重介绍了其烹饪特性。通过学习本课程，使学生充分了解烹饪原料的化学组成和组织结构、烹饪原料的品质检验和储存、动物性原料的特点及加工方法、植物性原料的特点及加工方法、调辅原料的分类及特点。使其具备对烹饪原料的识别能力、加工能力及运用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7.</w:t>
            </w:r>
            <w:r>
              <w:rPr>
                <w:rFonts w:hint="eastAsia" w:ascii="仿宋_GB2312" w:hAnsi="仿宋_GB2312" w:eastAsia="仿宋_GB2312" w:cs="仿宋_GB2312"/>
                <w:bCs/>
                <w:kern w:val="2"/>
                <w:sz w:val="28"/>
                <w:szCs w:val="28"/>
                <w:lang w:val="en-US"/>
              </w:rPr>
              <w:t>烹饪营养学</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营养学基础、烹饪原料的营养价值、平衡膳食和营养状况评价，科学烹调、烹饪加工对原料营养价值的影响、不同生理条件人群的营养、营养及疾病、饮食养生及实习等。通过学习本课程，使学生了解食物的消化吸收与排泄、人体需要的营养素、烹饪原料的营养价值、特殊人群的营养需要、合理烹饪、强化食品与保健食品、社区营养、营养配餐等方面的知识，使其具备烹饪原料的营养价值分析、营养调查、分析与营养配餐能力以及通过营养相关知识进行宴会菜单设计与制作的能力。</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8.</w:t>
            </w:r>
            <w:r>
              <w:rPr>
                <w:rFonts w:hint="eastAsia" w:ascii="仿宋_GB2312" w:hAnsi="仿宋_GB2312" w:eastAsia="仿宋_GB2312" w:cs="仿宋_GB2312"/>
                <w:bCs/>
                <w:kern w:val="2"/>
                <w:sz w:val="28"/>
                <w:szCs w:val="28"/>
                <w:lang w:val="en-US"/>
              </w:rPr>
              <w:t>筵席设计及餐厅服务</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本课程主要内容为介绍宴会的起源与历史沿革、宴会基本知识、宴会设计的模式、宴会菜单设计、宴会菜品生产设计、宴会服务的基本技能、宴会服务设计、宴会预定与营销管理、宴会运转管理等。</w:t>
            </w:r>
          </w:p>
          <w:p>
            <w:pPr>
              <w:pStyle w:val="4"/>
              <w:autoSpaceDE/>
              <w:autoSpaceDN/>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9.</w:t>
            </w:r>
            <w:r>
              <w:rPr>
                <w:rFonts w:hint="eastAsia" w:ascii="仿宋_GB2312" w:hAnsi="仿宋_GB2312" w:eastAsia="仿宋_GB2312" w:cs="仿宋_GB2312"/>
                <w:bCs/>
                <w:kern w:val="2"/>
                <w:sz w:val="28"/>
                <w:szCs w:val="28"/>
                <w:lang w:val="en-US"/>
              </w:rPr>
              <w:t>西餐工艺学</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本课程主要内容为介绍西餐相关概念、西厨房设置、加工技术、少司制作、菜肴烹调方法等相关理论与技术要点。通过讲授、示范、实际操作使学生了解掌握西餐的定义、发展和演变，以及西餐的基本制作理论和制作技术。通过学习本课程，使学生了解掌握西餐的定义、发展和演变，具备西餐的各种香料的识别与运用能力以及基础沙司、经典西餐菜品的制作能力。</w:t>
            </w:r>
          </w:p>
          <w:p>
            <w:pPr>
              <w:pStyle w:val="4"/>
              <w:autoSpaceDE/>
              <w:autoSpaceDN/>
              <w:snapToGrid w:val="0"/>
              <w:spacing w:line="360" w:lineRule="auto"/>
              <w:ind w:firstLine="560" w:firstLineChars="200"/>
              <w:jc w:val="left"/>
              <w:rPr>
                <w:rFonts w:hint="eastAsia" w:ascii="仿宋_GB2312" w:hAnsi="仿宋_GB2312" w:eastAsia="仿宋_GB2312" w:cs="仿宋_GB2312"/>
                <w:color w:val="000000"/>
                <w:kern w:val="2"/>
                <w:sz w:val="28"/>
                <w:szCs w:val="28"/>
                <w:lang w:val="en-US" w:eastAsia="zh-CN"/>
              </w:rPr>
            </w:pPr>
            <w:r>
              <w:rPr>
                <w:rFonts w:ascii="仿宋_GB2312" w:hAnsi="仿宋_GB2312" w:eastAsia="仿宋_GB2312" w:cs="仿宋_GB2312"/>
                <w:color w:val="000000"/>
                <w:kern w:val="2"/>
                <w:sz w:val="28"/>
                <w:szCs w:val="28"/>
                <w:lang w:val="en-US"/>
              </w:rPr>
              <w:t>10.</w:t>
            </w:r>
            <w:r>
              <w:rPr>
                <w:rFonts w:hint="eastAsia" w:ascii="仿宋_GB2312" w:hAnsi="仿宋_GB2312" w:eastAsia="仿宋_GB2312" w:cs="仿宋_GB2312"/>
                <w:color w:val="000000"/>
                <w:kern w:val="2"/>
                <w:sz w:val="28"/>
                <w:szCs w:val="28"/>
                <w:lang w:val="en-US"/>
              </w:rPr>
              <w:t>全国统一命题考试课程（略）</w:t>
            </w:r>
            <w:r>
              <w:rPr>
                <w:rFonts w:hint="eastAsia" w:ascii="仿宋_GB2312" w:hAnsi="仿宋_GB2312" w:eastAsia="仿宋_GB2312" w:cs="仿宋_GB2312"/>
                <w:color w:val="000000"/>
                <w:kern w:val="2"/>
                <w:sz w:val="28"/>
                <w:szCs w:val="28"/>
                <w:lang w:val="en-US" w:eastAsia="zh-CN"/>
              </w:rPr>
              <w:t>。</w:t>
            </w:r>
          </w:p>
          <w:p>
            <w:pPr>
              <w:pStyle w:val="4"/>
              <w:autoSpaceDE/>
              <w:autoSpaceDN/>
              <w:snapToGrid w:val="0"/>
              <w:spacing w:line="360" w:lineRule="auto"/>
              <w:ind w:firstLine="560" w:firstLineChars="200"/>
              <w:jc w:val="left"/>
              <w:rPr>
                <w:rFonts w:hint="eastAsia" w:ascii="仿宋_GB2312" w:hAnsi="仿宋_GB2312" w:eastAsia="仿宋_GB2312" w:cs="仿宋_GB2312"/>
                <w:color w:val="000000"/>
                <w:kern w:val="2"/>
                <w:sz w:val="28"/>
                <w:szCs w:val="28"/>
                <w:lang w:val="en-US" w:eastAsia="zh-CN"/>
              </w:rPr>
            </w:pPr>
            <w:r>
              <w:rPr>
                <w:rFonts w:ascii="仿宋_GB2312" w:hAnsi="仿宋_GB2312" w:eastAsia="仿宋_GB2312" w:cs="仿宋_GB2312"/>
                <w:color w:val="000000"/>
                <w:kern w:val="2"/>
                <w:sz w:val="28"/>
                <w:szCs w:val="28"/>
                <w:lang w:val="en-US"/>
              </w:rPr>
              <w:t>11.</w:t>
            </w:r>
            <w:r>
              <w:rPr>
                <w:rFonts w:hint="eastAsia" w:ascii="仿宋_GB2312" w:hAnsi="仿宋_GB2312" w:eastAsia="仿宋_GB2312" w:cs="仿宋_GB2312"/>
                <w:color w:val="000000"/>
                <w:kern w:val="2"/>
                <w:sz w:val="28"/>
                <w:szCs w:val="28"/>
                <w:lang w:val="en-US"/>
              </w:rPr>
              <w:t>实践性学习环节课程（按主考学校要求执行）</w:t>
            </w:r>
            <w:r>
              <w:rPr>
                <w:rFonts w:hint="eastAsia" w:ascii="仿宋_GB2312" w:hAnsi="仿宋_GB2312" w:eastAsia="仿宋_GB2312" w:cs="仿宋_GB2312"/>
                <w:color w:val="000000"/>
                <w:kern w:val="2"/>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1.</w:t>
            </w:r>
            <w:r>
              <w:rPr>
                <w:rFonts w:hint="eastAsia" w:ascii="仿宋_GB2312" w:hAnsi="仿宋_GB2312" w:eastAsia="仿宋_GB2312" w:cs="仿宋_GB2312"/>
                <w:color w:val="000000"/>
                <w:kern w:val="2"/>
                <w:sz w:val="28"/>
                <w:szCs w:val="28"/>
                <w:lang w:val="en-US"/>
              </w:rPr>
              <w:t>含实践的课程及实践所占学分：食品微生物学</w:t>
            </w:r>
            <w:r>
              <w:rPr>
                <w:rFonts w:ascii="仿宋_GB2312" w:hAnsi="仿宋_GB2312" w:eastAsia="仿宋_GB2312" w:cs="仿宋_GB2312"/>
                <w:color w:val="000000"/>
                <w:kern w:val="2"/>
                <w:sz w:val="28"/>
                <w:szCs w:val="28"/>
                <w:lang w:val="en-US"/>
              </w:rPr>
              <w:t>1</w:t>
            </w:r>
            <w:r>
              <w:rPr>
                <w:rFonts w:hint="eastAsia" w:ascii="仿宋_GB2312" w:hAnsi="仿宋_GB2312" w:eastAsia="仿宋_GB2312" w:cs="仿宋_GB2312"/>
                <w:color w:val="000000"/>
                <w:kern w:val="2"/>
                <w:sz w:val="28"/>
                <w:szCs w:val="28"/>
                <w:lang w:val="en-US"/>
              </w:rPr>
              <w:t>学分、食品分析与感官评定</w:t>
            </w:r>
            <w:r>
              <w:rPr>
                <w:rFonts w:ascii="仿宋_GB2312" w:hAnsi="仿宋_GB2312" w:eastAsia="仿宋_GB2312" w:cs="仿宋_GB2312"/>
                <w:color w:val="000000"/>
                <w:kern w:val="2"/>
                <w:sz w:val="28"/>
                <w:szCs w:val="28"/>
                <w:lang w:val="en-US"/>
              </w:rPr>
              <w:t>1</w:t>
            </w:r>
            <w:r>
              <w:rPr>
                <w:rFonts w:hint="eastAsia" w:ascii="仿宋_GB2312" w:hAnsi="仿宋_GB2312" w:eastAsia="仿宋_GB2312" w:cs="仿宋_GB2312"/>
                <w:color w:val="000000"/>
                <w:kern w:val="2"/>
                <w:sz w:val="28"/>
                <w:szCs w:val="28"/>
                <w:lang w:val="en-US"/>
              </w:rPr>
              <w:t>学分、中国风味流派与菜肴</w:t>
            </w:r>
            <w:r>
              <w:rPr>
                <w:rFonts w:ascii="仿宋_GB2312" w:hAnsi="仿宋_GB2312" w:eastAsia="仿宋_GB2312" w:cs="仿宋_GB2312"/>
                <w:color w:val="000000"/>
                <w:kern w:val="2"/>
                <w:sz w:val="28"/>
                <w:szCs w:val="28"/>
                <w:lang w:val="en-US"/>
              </w:rPr>
              <w:t>2</w:t>
            </w:r>
            <w:r>
              <w:rPr>
                <w:rFonts w:hint="eastAsia" w:ascii="仿宋_GB2312" w:hAnsi="仿宋_GB2312" w:eastAsia="仿宋_GB2312" w:cs="仿宋_GB2312"/>
                <w:color w:val="000000"/>
                <w:kern w:val="2"/>
                <w:sz w:val="28"/>
                <w:szCs w:val="28"/>
                <w:lang w:val="en-US"/>
              </w:rPr>
              <w:t>学分、食品雕刻</w:t>
            </w:r>
            <w:r>
              <w:rPr>
                <w:rFonts w:ascii="仿宋_GB2312" w:hAnsi="仿宋_GB2312" w:eastAsia="仿宋_GB2312" w:cs="仿宋_GB2312"/>
                <w:color w:val="000000"/>
                <w:kern w:val="2"/>
                <w:sz w:val="28"/>
                <w:szCs w:val="28"/>
                <w:lang w:val="en-US"/>
              </w:rPr>
              <w:t>5</w:t>
            </w:r>
            <w:r>
              <w:rPr>
                <w:rFonts w:hint="eastAsia" w:ascii="仿宋_GB2312" w:hAnsi="仿宋_GB2312" w:eastAsia="仿宋_GB2312" w:cs="仿宋_GB2312"/>
                <w:color w:val="000000"/>
                <w:kern w:val="2"/>
                <w:sz w:val="28"/>
                <w:szCs w:val="28"/>
                <w:lang w:val="en-US"/>
              </w:rPr>
              <w:t>分、西餐工艺学</w:t>
            </w:r>
            <w:r>
              <w:rPr>
                <w:rFonts w:ascii="仿宋_GB2312" w:hAnsi="仿宋_GB2312" w:eastAsia="仿宋_GB2312" w:cs="仿宋_GB2312"/>
                <w:color w:val="000000"/>
                <w:kern w:val="2"/>
                <w:sz w:val="28"/>
                <w:szCs w:val="28"/>
                <w:lang w:val="en-US"/>
              </w:rPr>
              <w:t>3</w:t>
            </w:r>
            <w:r>
              <w:rPr>
                <w:rFonts w:hint="eastAsia" w:ascii="仿宋_GB2312" w:hAnsi="仿宋_GB2312" w:eastAsia="仿宋_GB2312" w:cs="仿宋_GB2312"/>
                <w:color w:val="000000"/>
                <w:kern w:val="2"/>
                <w:sz w:val="28"/>
                <w:szCs w:val="28"/>
                <w:lang w:val="en-US"/>
              </w:rPr>
              <w:t>学分。</w:t>
            </w:r>
          </w:p>
          <w:p>
            <w:pPr>
              <w:adjustRightInd w:val="0"/>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color w:val="000000"/>
                <w:kern w:val="2"/>
                <w:sz w:val="28"/>
                <w:szCs w:val="28"/>
                <w:lang w:val="en-US"/>
              </w:rPr>
              <w:t>2.</w:t>
            </w:r>
            <w:r>
              <w:rPr>
                <w:rFonts w:hint="eastAsia" w:ascii="仿宋_GB2312" w:hAnsi="仿宋_GB2312" w:eastAsia="仿宋_GB2312" w:cs="仿宋_GB2312"/>
                <w:color w:val="000000"/>
                <w:kern w:val="2"/>
                <w:sz w:val="28"/>
                <w:szCs w:val="28"/>
                <w:lang w:val="en-US"/>
              </w:rPr>
              <w:t>实习：可到相关单位进行烹饪设备操作、刀工技能实践和菜肴制作、食品感官评价等基本技能实践的综合作业实习。</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adjustRightInd w:val="0"/>
              <w:snapToGrid w:val="0"/>
              <w:spacing w:line="360" w:lineRule="auto"/>
              <w:ind w:firstLine="560" w:firstLineChars="200"/>
              <w:jc w:val="left"/>
              <w:rPr>
                <w:rFonts w:ascii="仿宋" w:hAnsi="仿宋" w:eastAsia="仿宋" w:cs="仿宋"/>
                <w:color w:val="000000"/>
                <w:kern w:val="2"/>
                <w:sz w:val="28"/>
                <w:szCs w:val="28"/>
                <w:lang w:val="en-US"/>
              </w:rPr>
            </w:pPr>
            <w:r>
              <w:rPr>
                <w:rFonts w:hint="eastAsia" w:ascii="仿宋_GB2312" w:hAnsi="仿宋_GB2312" w:eastAsia="仿宋_GB2312" w:cs="仿宋_GB2312"/>
                <w:color w:val="000000"/>
                <w:kern w:val="2"/>
                <w:sz w:val="28"/>
                <w:szCs w:val="28"/>
                <w:lang w:val="en-US"/>
              </w:rPr>
              <w:t>接续本科专业举例：食品质量与安全、食品科学与工程。</w:t>
            </w:r>
          </w:p>
          <w:p>
            <w:pPr>
              <w:rPr>
                <w:lang w:val="en-US"/>
              </w:rPr>
            </w:pPr>
          </w:p>
          <w:p>
            <w:pPr>
              <w:autoSpaceDE/>
              <w:autoSpaceDN/>
              <w:spacing w:line="480" w:lineRule="exact"/>
              <w:ind w:firstLine="420" w:firstLineChars="200"/>
              <w:rPr>
                <w:lang w:val="en-US"/>
              </w:rPr>
            </w:pPr>
          </w:p>
          <w:p>
            <w:pPr>
              <w:pStyle w:val="4"/>
              <w:autoSpaceDE/>
              <w:autoSpaceDN/>
              <w:spacing w:line="500" w:lineRule="exact"/>
              <w:ind w:firstLine="560" w:firstLineChars="200"/>
              <w:rPr>
                <w:rFonts w:ascii="仿宋" w:hAnsi="仿宋" w:eastAsia="仿宋" w:cs="Times New Roman"/>
                <w:bCs/>
                <w:kern w:val="2"/>
                <w:sz w:val="28"/>
                <w:szCs w:val="28"/>
                <w:lang w:val="en-US"/>
              </w:rPr>
            </w:pPr>
          </w:p>
          <w:p>
            <w:pPr>
              <w:pStyle w:val="4"/>
              <w:autoSpaceDE/>
              <w:autoSpaceDN/>
              <w:spacing w:line="500" w:lineRule="exact"/>
              <w:ind w:firstLine="560" w:firstLineChars="200"/>
              <w:rPr>
                <w:rFonts w:ascii="仿宋" w:hAnsi="仿宋" w:eastAsia="仿宋" w:cs="Times New Roman"/>
                <w:bCs/>
                <w:kern w:val="2"/>
                <w:sz w:val="28"/>
                <w:szCs w:val="28"/>
                <w:lang w:val="en-US"/>
              </w:rPr>
            </w:pPr>
          </w:p>
          <w:p>
            <w:pPr>
              <w:pStyle w:val="4"/>
              <w:autoSpaceDE/>
              <w:autoSpaceDN/>
              <w:spacing w:line="500" w:lineRule="exact"/>
              <w:ind w:firstLine="0"/>
              <w:rPr>
                <w:rFonts w:ascii="仿宋" w:hAnsi="仿宋" w:eastAsia="仿宋" w:cs="仿宋"/>
                <w:color w:val="000000"/>
                <w:sz w:val="28"/>
                <w:szCs w:val="28"/>
                <w:lang w:val="en-US"/>
              </w:rPr>
            </w:pPr>
          </w:p>
          <w:p>
            <w:pPr>
              <w:autoSpaceDE/>
              <w:autoSpaceDN/>
              <w:adjustRightInd w:val="0"/>
              <w:snapToGrid w:val="0"/>
              <w:spacing w:line="500" w:lineRule="exact"/>
              <w:ind w:firstLine="600" w:firstLineChars="200"/>
              <w:rPr>
                <w:rFonts w:ascii="Times New Roman" w:hAnsi="Times New Roman" w:eastAsia="微软雅黑"/>
                <w:b/>
                <w:bCs/>
                <w:sz w:val="30"/>
                <w:szCs w:val="30"/>
              </w:rPr>
            </w:pPr>
          </w:p>
        </w:tc>
      </w:tr>
    </w:tbl>
    <w:p>
      <w:pPr>
        <w:autoSpaceDE/>
        <w:autoSpaceDN/>
        <w:adjustRightInd w:val="0"/>
        <w:snapToGrid w:val="0"/>
        <w:spacing w:line="360" w:lineRule="auto"/>
        <w:ind w:firstLine="562" w:firstLineChars="200"/>
        <w:jc w:val="left"/>
        <w:rPr>
          <w:rFonts w:hint="eastAsia" w:ascii="仿宋_GB2312" w:hAnsi="仿宋_GB2312" w:eastAsia="仿宋_GB2312" w:cs="仿宋_GB2312"/>
          <w:b/>
          <w:color w:val="000000"/>
          <w:sz w:val="28"/>
          <w:szCs w:val="28"/>
          <w:lang w:val="en-US"/>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jc w:val="center"/>
        <w:textAlignment w:val="auto"/>
        <w:rPr>
          <w:rFonts w:hint="eastAsia" w:ascii="Times New Roman" w:hAnsi="Times New Roman" w:eastAsia="宋体" w:cs="宋体"/>
          <w:b/>
          <w:bCs/>
          <w:color w:val="auto"/>
          <w:kern w:val="0"/>
          <w:sz w:val="36"/>
          <w:szCs w:val="36"/>
        </w:rPr>
      </w:pPr>
      <w:r>
        <w:rPr>
          <w:rFonts w:hint="eastAsia" w:ascii="Times New Roman" w:hAnsi="Times New Roman" w:eastAsia="方正小标宋_GBK" w:cs="方正小标宋_GBK"/>
          <w:b w:val="0"/>
          <w:bCs w:val="0"/>
          <w:color w:val="auto"/>
          <w:kern w:val="0"/>
          <w:sz w:val="36"/>
          <w:szCs w:val="36"/>
          <w:lang w:val="en-US" w:eastAsia="zh-CN"/>
        </w:rPr>
        <w:t>烹饪工艺与营养（专科）专业课程设置与学分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ind w:firstLine="240" w:firstLineChars="100"/>
        <w:textAlignment w:val="auto"/>
        <w:rPr>
          <w:rFonts w:hint="eastAsia" w:ascii="Times New Roman" w:hAnsi="Times New Roman" w:eastAsia="宋体" w:cs="宋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宋体" w:cs="宋体"/>
          <w:color w:val="auto"/>
          <w:kern w:val="0"/>
          <w:sz w:val="24"/>
          <w:szCs w:val="22"/>
          <w:lang w:val="en-US" w:eastAsia="zh-CN"/>
        </w:rPr>
        <w:t>540202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70"/>
        <w:gridCol w:w="944"/>
        <w:gridCol w:w="19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02517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食品微生物学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02518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食品微生物学（实践）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02527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烹饪化学基础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02525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烹饪原料学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02528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烹饪营养学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02524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烹饪学概论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04729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大学语文</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02526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烹饪工艺学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04167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食品分析与感官评定</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04986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食品分析与感官评定（实践）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06203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中国风味流派与菜肴</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06204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中国风味流派与菜肴（实践）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02532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筵席设计及餐厅服务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02531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面点工艺学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08430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西餐工艺学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08431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西餐工艺学（实践）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11132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食品雕刻（实践）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烹饪工艺与营养（专科）专业考试计划对应衔接表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764"/>
        <w:gridCol w:w="2429"/>
        <w:gridCol w:w="639"/>
        <w:gridCol w:w="673"/>
        <w:gridCol w:w="702"/>
        <w:gridCol w:w="2479"/>
        <w:gridCol w:w="650"/>
        <w:gridCol w:w="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烹饪工艺（专科），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081305</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烹饪工艺与营养（专科），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540202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03706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思想道德修养与法律基础</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2</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12656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毛泽东思想和中国特色社会主义理论体系概论</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00018　　　　　　　</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计算机应用基础</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02527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烹饪化学基础</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02517</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食品微生物学</w:t>
            </w:r>
          </w:p>
        </w:tc>
        <w:tc>
          <w:tcPr>
            <w:tcW w:w="33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02517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食品微生物学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sz w:val="18"/>
                <w:szCs w:val="18"/>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sz w:val="18"/>
                <w:szCs w:val="18"/>
              </w:rPr>
            </w:pPr>
          </w:p>
        </w:tc>
        <w:tc>
          <w:tcPr>
            <w:tcW w:w="33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sz w:val="18"/>
                <w:szCs w:val="18"/>
              </w:rPr>
            </w:pP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02518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食品微生物学（实践）</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02525</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烹饪原料学</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3</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02525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烹饪原料学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02527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烹饪化学基础</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02527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烹饪化学基础</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02528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烹饪营养学</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02528</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烹饪营养学</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02529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烹饪卫生学</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02524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烹饪学概论</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00201</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饭店餐饮管理</w:t>
            </w:r>
          </w:p>
        </w:tc>
        <w:tc>
          <w:tcPr>
            <w:tcW w:w="33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04167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食品分析与感官评定</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sz w:val="18"/>
                <w:szCs w:val="18"/>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sz w:val="18"/>
                <w:szCs w:val="18"/>
              </w:rPr>
            </w:pPr>
          </w:p>
        </w:tc>
        <w:tc>
          <w:tcPr>
            <w:tcW w:w="33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sz w:val="18"/>
                <w:szCs w:val="18"/>
              </w:rPr>
            </w:pP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04986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食品分析与感官评定（实践）</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02524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烹饪学概论</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02524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烹饪学概论</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04729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大学语文</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04729</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大学语文</w:t>
            </w:r>
          </w:p>
        </w:tc>
        <w:tc>
          <w:tcPr>
            <w:tcW w:w="33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color w:val="auto"/>
                <w:sz w:val="18"/>
                <w:szCs w:val="18"/>
                <w:lang w:val="en-US" w:eastAsia="zh-CN"/>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02530</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烹饪器械及设备</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02526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烹饪工艺学</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6</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02531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面点工艺学</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06203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中国风味流派与菜肴</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02532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筵席设计及餐厅服务</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06204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中国风味流派与菜肴（实践）</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10527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食品雕刻</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02532</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筵席设计及餐厅服务</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08430</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西餐工艺学</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3</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02531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面点工艺学</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10528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西点工艺学</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5</w:t>
            </w:r>
          </w:p>
        </w:tc>
        <w:tc>
          <w:tcPr>
            <w:tcW w:w="3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08430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西餐工艺学</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18</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10532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西菜制作技术</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w:t>
            </w:r>
          </w:p>
        </w:tc>
        <w:tc>
          <w:tcPr>
            <w:tcW w:w="3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08431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西餐工艺学（实践）</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19</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10533</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西餐装饰</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11132</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食品雕刻（实践）</w:t>
            </w: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20</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10524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药膳基础</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3</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10529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公共营养与特殊人群营养</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3</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10530</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营养配膳与制作</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10531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保健食品</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2</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02526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烹饪工艺学</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6</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10526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川菜烹调</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26</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10534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西餐服务</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3</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10536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外国菜知识</w:t>
            </w:r>
          </w:p>
        </w:tc>
        <w:tc>
          <w:tcPr>
            <w:tcW w:w="33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4</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88" w:lineRule="auto"/>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1" w:name="_GoBack"/>
      <w:bookmarkEnd w:id="1"/>
      <w:r>
        <w:rPr>
          <w:rFonts w:hint="eastAsia" w:ascii="微软雅黑" w:hAnsi="微软雅黑" w:eastAsia="微软雅黑" w:cs="微软雅黑"/>
          <w:sz w:val="44"/>
          <w:szCs w:val="44"/>
          <w:lang w:val="en-US" w:eastAsia="zh-CN"/>
        </w:rPr>
        <w:t>烹饪工艺与营养（专科）专业教材明细表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6"/>
        <w:gridCol w:w="1815"/>
        <w:gridCol w:w="765"/>
        <w:gridCol w:w="1170"/>
        <w:gridCol w:w="2340"/>
        <w:gridCol w:w="2520"/>
        <w:gridCol w:w="1290"/>
        <w:gridCol w:w="1770"/>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02517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食品微生物学</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食品微生物学</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朱乐敏</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02518</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食品微生物学（实践）</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02527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烹饪化学基础</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烹饪基础化学</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张怀玉</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02525</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烹饪原料学</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烹饪原料学</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王向阳</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02528</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烹饪营养学</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烹饪营养学</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彭景</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02524</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烹饪学概论</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烹饪学概论</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马健鹰</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中国纺织出版社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04729</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大学语文</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徐中玉、陶型传</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02526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烹饪工艺学</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周世中</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西南交大出版社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04167</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食品分析与感官评定</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食品分析与感官评定</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吴谋成</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04986</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食品分析与感官评定（实践）</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06203</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中国风味流派与菜肴</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中国名菜</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谢定源等</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06204</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中国风味流派与菜肴（实践）</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02532</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筵席设计及餐厅服务</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菜单设计</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沈涛</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02531</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面点工艺学</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中式面点工艺与实训</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陈迤、钟志惠</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08430</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西餐工艺学</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西式烹调工艺</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李晓</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08431</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西餐工艺学（实践）</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540202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烹饪工艺与营养</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11132</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食品雕刻（实践）</w:t>
            </w:r>
          </w:p>
        </w:tc>
        <w:tc>
          <w:tcPr>
            <w:tcW w:w="8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食品雕刻与盘饰</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王亮、王杰、丛军</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山东人民出版社</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9B844E-27DF-404B-B448-ECCB2DED10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D239707-7B4D-48F3-B33A-C064934147FC}"/>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AEA462E6-1420-4936-8A9E-B1D72E78DEB8}"/>
  </w:font>
  <w:font w:name="方正小标宋_GBK">
    <w:panose1 w:val="02000000000000000000"/>
    <w:charset w:val="86"/>
    <w:family w:val="script"/>
    <w:pitch w:val="default"/>
    <w:sig w:usb0="A00002BF" w:usb1="38CF7CFA" w:usb2="00082016" w:usb3="00000000" w:csb0="00040001" w:csb1="00000000"/>
    <w:embedRegular r:id="rId4" w:fontKey="{122C30C1-D8CC-4566-909E-8EEA2CACB5A2}"/>
  </w:font>
  <w:font w:name="方正黑体_GBK">
    <w:altName w:val="微软雅黑"/>
    <w:panose1 w:val="03000509000000000000"/>
    <w:charset w:val="86"/>
    <w:family w:val="script"/>
    <w:pitch w:val="default"/>
    <w:sig w:usb0="00000000" w:usb1="00000000" w:usb2="00000000" w:usb3="00000000" w:csb0="00040000" w:csb1="00000000"/>
    <w:embedRegular r:id="rId5" w:fontKey="{A097E96B-F8B0-4DD3-AD1A-AD77E2A60ED2}"/>
  </w:font>
  <w:font w:name="楷体_GB2312">
    <w:panose1 w:val="02010609030101010101"/>
    <w:charset w:val="86"/>
    <w:family w:val="modern"/>
    <w:pitch w:val="default"/>
    <w:sig w:usb0="00000001" w:usb1="080E0000" w:usb2="00000000" w:usb3="00000000" w:csb0="00040000" w:csb1="00000000"/>
    <w:embedRegular r:id="rId6" w:fontKey="{BD2335BC-8855-4ACB-9333-4869A586471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51E622C1"/>
    <w:rsid w:val="59576FB7"/>
    <w:rsid w:val="5EC74E5E"/>
    <w:rsid w:val="7832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2023-10-29T02:52:00Z</dcterms:created>
  <dc:creator>Administrator</dc:creator>
  <cp:lastModifiedBy>淡定</cp:lastModifiedBy>
  <dcterms:modified xsi:type="dcterms:W3CDTF">2023-10-29T07:52:52Z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4DBDBE4F207B456BB300271191857679_12</vt:lpwstr>
  </property>
</Properties>
</file>